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D0BC0" w14:textId="3B66AE03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>Слайд 1. Титульный лист</w:t>
      </w:r>
    </w:p>
    <w:p w14:paraId="13F20C38" w14:textId="776F0C48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Уважаемые члены государственной экзаменационной комиссии! Вашему вниманию представляется выпускная квалификационная работа на тему: «Контроль за формированием и исполнением бюджетов муниципальных образований Камчатского края».</w:t>
      </w:r>
    </w:p>
    <w:p w14:paraId="65631739" w14:textId="0A06A14D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>Слайд 2. Актуальность и проблематика исследования</w:t>
      </w:r>
    </w:p>
    <w:p w14:paraId="60F06D43" w14:textId="33334C02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Актуальность исследования обусловлена возрастающей ролью местного самоуправления и необходимостью обеспечения прозрачности и эффективности использования бюджетных средств на муниципальном уровне. Для Камчатского края, отличающегося обширной территорией, сложной транспортной доступностью и высокой долей безвозмездных поступлений из краевого бюджета, контроль муниципальных финансов приобретает особое значение. Деятельность Контрольно-счетной палаты Камчатского края выступает ключевым элементом обеспечения бюджетной дисциплины в регионе, что и определило выбор темы работы.</w:t>
      </w:r>
      <w:r w:rsidR="0063725B" w:rsidRPr="0063725B">
        <w:rPr>
          <w:rFonts w:ascii="Times New Roman" w:hAnsi="Times New Roman" w:cs="Times New Roman"/>
          <w:sz w:val="28"/>
          <w:szCs w:val="28"/>
        </w:rPr>
        <w:t xml:space="preserve"> </w:t>
      </w:r>
      <w:r w:rsidR="0063725B" w:rsidRPr="00B964C5">
        <w:rPr>
          <w:rFonts w:ascii="Times New Roman" w:hAnsi="Times New Roman" w:cs="Times New Roman"/>
          <w:sz w:val="28"/>
          <w:szCs w:val="28"/>
        </w:rPr>
        <w:t>Цель работы – на основе анализа теоретико-правовых основ и практики деятельности палаты разработать рекомендации по повышению эффективности контроля. Для её достижения последовательно решены пять задач: от раскрытия теоретических основ до прогнозирования экономической эффективности предложенных мер.</w:t>
      </w:r>
    </w:p>
    <w:p w14:paraId="57D7FA17" w14:textId="257AAE2F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Теорети</w:t>
      </w:r>
      <w:r w:rsidR="00257FB1">
        <w:rPr>
          <w:rFonts w:ascii="Times New Roman" w:hAnsi="Times New Roman" w:cs="Times New Roman"/>
          <w:b/>
          <w:bCs/>
          <w:sz w:val="28"/>
          <w:szCs w:val="28"/>
        </w:rPr>
        <w:t>ческие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 основы контроля (Глава 1)</w:t>
      </w:r>
    </w:p>
    <w:p w14:paraId="24156E43" w14:textId="469F486A" w:rsidR="00B964C5" w:rsidRPr="00B964C5" w:rsidRDefault="00280EA3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 теорети</w:t>
      </w:r>
      <w:r w:rsidR="00257FB1">
        <w:rPr>
          <w:rFonts w:ascii="Times New Roman" w:hAnsi="Times New Roman" w:cs="Times New Roman"/>
          <w:sz w:val="28"/>
          <w:szCs w:val="28"/>
        </w:rPr>
        <w:t xml:space="preserve">ческие </w:t>
      </w:r>
      <w:r w:rsidR="00B964C5" w:rsidRPr="00B964C5">
        <w:rPr>
          <w:rFonts w:ascii="Times New Roman" w:hAnsi="Times New Roman" w:cs="Times New Roman"/>
          <w:sz w:val="28"/>
          <w:szCs w:val="28"/>
        </w:rPr>
        <w:t>основы муниципального бюджетного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и выявив,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B964C5" w:rsidRPr="00B964C5">
        <w:rPr>
          <w:rFonts w:ascii="Times New Roman" w:hAnsi="Times New Roman" w:cs="Times New Roman"/>
          <w:sz w:val="28"/>
          <w:szCs w:val="28"/>
        </w:rPr>
        <w:t>кономическ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 сущность контроля на местном уровне </w:t>
      </w:r>
      <w:r>
        <w:rPr>
          <w:rFonts w:ascii="Times New Roman" w:hAnsi="Times New Roman" w:cs="Times New Roman"/>
          <w:sz w:val="28"/>
          <w:szCs w:val="28"/>
        </w:rPr>
        <w:t xml:space="preserve">и выявив что она 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определяется спецификой муниципальных финансов, характером социальных расходных обязательств и механизмами межбюджетного регулирования. Нормативная база представляет собой многоуровневую систему, где ключевую роль играет статья 136 Бюджетного кодекса РФ, позволяющая региональным контрольно-счетным органам брать на себя функции внешнего муниципального контроля на основании </w:t>
      </w:r>
      <w:r w:rsidR="00B964C5" w:rsidRPr="00B964C5">
        <w:rPr>
          <w:rFonts w:ascii="Times New Roman" w:hAnsi="Times New Roman" w:cs="Times New Roman"/>
          <w:sz w:val="28"/>
          <w:szCs w:val="28"/>
        </w:rPr>
        <w:lastRenderedPageBreak/>
        <w:t>соглашений. Это особенно важно для Камчатского края, где многие муниципалитеты не располагают ресурсами для создания собственных контрольных структур.</w:t>
      </w:r>
    </w:p>
    <w:p w14:paraId="0D607543" w14:textId="31B7D1FB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Анализ деятельности КСП Камчатского края: охват и динамика соглашений</w:t>
      </w:r>
    </w:p>
    <w:p w14:paraId="39D60F40" w14:textId="7F1B866E" w:rsidR="00B964C5" w:rsidRPr="00B964C5" w:rsidRDefault="00280EA3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964C5" w:rsidRPr="00B964C5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 xml:space="preserve"> проводился на примере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 практической деятельности Контрольно-счетной палаты за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Выявлено что</w:t>
      </w:r>
      <w:r w:rsidR="00B964C5" w:rsidRPr="00B964C5">
        <w:rPr>
          <w:rFonts w:ascii="Times New Roman" w:hAnsi="Times New Roman" w:cs="Times New Roman"/>
          <w:sz w:val="28"/>
          <w:szCs w:val="28"/>
        </w:rPr>
        <w:t>, количество соглашений о передаче полномочий выросло с 9 до 14, а в 2024 году стабилизировалось на уровне 13 в связи с процессами укрупнения муниципальных образований. Доля охваченных контролем территорий стабильно составляет 85%. Несмотря на географическую удалённость объектов, палата обеспечивает единые стандарты качества контроля, сочетая выездные и камеральные проверки, а также наращивая организационную активность: количество заседаний Коллегии увеличилось с 54 до 67 за три года.</w:t>
      </w:r>
    </w:p>
    <w:p w14:paraId="68506CFA" w14:textId="27231210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Контроль за формированием доходов и планированием расходов</w:t>
      </w:r>
    </w:p>
    <w:p w14:paraId="74222F27" w14:textId="4550FF05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Контроль за формированием бюджетов реализуется преимущественно через финансово-экономические экспертизы</w:t>
      </w:r>
      <w:r w:rsidR="00280EA3">
        <w:rPr>
          <w:rFonts w:ascii="Times New Roman" w:hAnsi="Times New Roman" w:cs="Times New Roman"/>
          <w:sz w:val="28"/>
          <w:szCs w:val="28"/>
        </w:rPr>
        <w:t>,</w:t>
      </w:r>
      <w:r w:rsidRPr="00B964C5">
        <w:rPr>
          <w:rFonts w:ascii="Times New Roman" w:hAnsi="Times New Roman" w:cs="Times New Roman"/>
          <w:sz w:val="28"/>
          <w:szCs w:val="28"/>
        </w:rPr>
        <w:t xml:space="preserve"> </w:t>
      </w:r>
      <w:r w:rsidR="00280EA3">
        <w:rPr>
          <w:rFonts w:ascii="Times New Roman" w:hAnsi="Times New Roman" w:cs="Times New Roman"/>
          <w:sz w:val="28"/>
          <w:szCs w:val="28"/>
        </w:rPr>
        <w:t>которые</w:t>
      </w:r>
      <w:r w:rsidRPr="00B964C5">
        <w:rPr>
          <w:rFonts w:ascii="Times New Roman" w:hAnsi="Times New Roman" w:cs="Times New Roman"/>
          <w:sz w:val="28"/>
          <w:szCs w:val="28"/>
        </w:rPr>
        <w:t xml:space="preserve"> демонстриру</w:t>
      </w:r>
      <w:r w:rsidR="00B25948">
        <w:rPr>
          <w:rFonts w:ascii="Times New Roman" w:hAnsi="Times New Roman" w:cs="Times New Roman"/>
          <w:sz w:val="28"/>
          <w:szCs w:val="28"/>
        </w:rPr>
        <w:t>ю</w:t>
      </w:r>
      <w:r w:rsidRPr="00B964C5">
        <w:rPr>
          <w:rFonts w:ascii="Times New Roman" w:hAnsi="Times New Roman" w:cs="Times New Roman"/>
          <w:sz w:val="28"/>
          <w:szCs w:val="28"/>
        </w:rPr>
        <w:t>т устойчивый рост выявляемых нарушений, особенно технических ошибок в кодах бюджетной классификации и несоответствий показателей муниципальных программ. В 2024 году количество экспертиз решений о внесении изменений в бюджеты достигло 35, что свидетельствует о высокой динамике корректировок и недостаточном качестве первоначального планирования. Выявленные замечания на стадии экспертизы позволяют предотвратить нецелевое расходование средств, однако сохраняется проблема неравномерного уровня подготовки документации в разных муниципалитетах.</w:t>
      </w:r>
    </w:p>
    <w:p w14:paraId="38347CC7" w14:textId="3AF795BA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Результаты контроля исполнения бюджетов и эффективность расходов</w:t>
      </w:r>
    </w:p>
    <w:p w14:paraId="28DF523F" w14:textId="12AD5BB4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исполнением бюджетов является наиболее ресурсоемким направлением. Как показывает </w:t>
      </w:r>
      <w:r w:rsidR="00B25948">
        <w:rPr>
          <w:rFonts w:ascii="Times New Roman" w:hAnsi="Times New Roman" w:cs="Times New Roman"/>
          <w:sz w:val="28"/>
          <w:szCs w:val="28"/>
        </w:rPr>
        <w:t>информация на слайде</w:t>
      </w:r>
      <w:r w:rsidRPr="00B964C5">
        <w:rPr>
          <w:rFonts w:ascii="Times New Roman" w:hAnsi="Times New Roman" w:cs="Times New Roman"/>
          <w:sz w:val="28"/>
          <w:szCs w:val="28"/>
        </w:rPr>
        <w:t xml:space="preserve">, количество контрольных мероприятий выросло более чем в три раза, при этом доля устраненных нарушений достигла </w:t>
      </w:r>
      <w:r w:rsidR="00280EA3">
        <w:rPr>
          <w:rFonts w:ascii="Times New Roman" w:hAnsi="Times New Roman" w:cs="Times New Roman"/>
          <w:sz w:val="28"/>
          <w:szCs w:val="28"/>
        </w:rPr>
        <w:t>почти 100</w:t>
      </w:r>
      <w:r w:rsidRPr="00B964C5">
        <w:rPr>
          <w:rFonts w:ascii="Times New Roman" w:hAnsi="Times New Roman" w:cs="Times New Roman"/>
          <w:sz w:val="28"/>
          <w:szCs w:val="28"/>
        </w:rPr>
        <w:t>% в 2024 году. Однако структура нарушений изменилась: если ранее преобладали крупные финансовые нарушения, то теперь 99% суммового объема приходится на искажения бухгалтерского учета и отчетности. Прямое возмещение средств остается низким (менее 1%), что связано с длительностью судебных процедур. Тем не менее, исполнение представлений достигло 100%, а рост количества протоколов об административных правонарушениях подтверждает усиление контрольно-надзорной функции.</w:t>
      </w:r>
    </w:p>
    <w:p w14:paraId="6410ECE8" w14:textId="43C00B75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Системные проблемы бюджетного контроля в Камчатском крае</w:t>
      </w:r>
    </w:p>
    <w:p w14:paraId="76BA4FC4" w14:textId="667C700D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На основе анализа выявлен комплекс системных проблем. Наиболее критичными являются методологические недостатки в ведении учета и нестабильность бюджетного планирования. Организационно-кадровые ограничения проявляются в дефиците специалистов в отдаленных районах и высокой текучести кадров. Технико-технологические факторы осложняют выездные проверки, а низкая доля фактического возмещения ущерба снижает превентивный эффект контроля. Дополнительно отмечается повторяемость типовых нарушений в одних и тех же муниципалитетах, что указывает на формальный характер устранения без изменения внутренних процессов.</w:t>
      </w:r>
    </w:p>
    <w:p w14:paraId="75C37927" w14:textId="249D5567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. Направления совершенствования деятельности КСП </w:t>
      </w:r>
    </w:p>
    <w:p w14:paraId="0358918F" w14:textId="77777777" w:rsidR="0063725B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Для устранения выявленных проблем разработан комплекс мероприятий. Ключевыми направлениями</w:t>
      </w:r>
      <w:r w:rsidR="0063725B">
        <w:rPr>
          <w:rFonts w:ascii="Times New Roman" w:hAnsi="Times New Roman" w:cs="Times New Roman"/>
          <w:sz w:val="28"/>
          <w:szCs w:val="28"/>
        </w:rPr>
        <w:t xml:space="preserve"> которых</w:t>
      </w:r>
      <w:r w:rsidRPr="00B964C5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14:paraId="31D61A6A" w14:textId="77777777" w:rsidR="0063725B" w:rsidRDefault="0063725B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B964C5" w:rsidRPr="00B964C5">
        <w:rPr>
          <w:rFonts w:ascii="Times New Roman" w:hAnsi="Times New Roman" w:cs="Times New Roman"/>
          <w:sz w:val="28"/>
          <w:szCs w:val="28"/>
        </w:rPr>
        <w:t>истематизация методических рекомендаций для унификации учета</w:t>
      </w:r>
    </w:p>
    <w:p w14:paraId="573C0374" w14:textId="77777777" w:rsidR="0063725B" w:rsidRDefault="0063725B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рганизация непрерывного обучения специалистов муниципалитетов в формате ВКС </w:t>
      </w:r>
    </w:p>
    <w:p w14:paraId="512D2166" w14:textId="77777777" w:rsidR="0063725B" w:rsidRDefault="0063725B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-В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недрение риск-ориентированного подхода для концентрации ресурсов на проблемных зонах </w:t>
      </w:r>
    </w:p>
    <w:p w14:paraId="2A59EB43" w14:textId="77777777" w:rsidR="0063725B" w:rsidRDefault="0063725B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</w:t>
      </w:r>
      <w:r w:rsidR="00B964C5" w:rsidRPr="00B964C5">
        <w:rPr>
          <w:rFonts w:ascii="Times New Roman" w:hAnsi="Times New Roman" w:cs="Times New Roman"/>
          <w:sz w:val="28"/>
          <w:szCs w:val="28"/>
        </w:rPr>
        <w:t xml:space="preserve"> также цифровизация через интеграцию с региональными финансовыми информационными системами. </w:t>
      </w:r>
    </w:p>
    <w:p w14:paraId="52E75BD0" w14:textId="47232547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Особое внимание уделено профилактике нарушений на стадии планирования и усилению претензионной работы по взысканию ущерба совместно с правоохранительными органами.</w:t>
      </w:r>
    </w:p>
    <w:p w14:paraId="51483B93" w14:textId="78E0BEA1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Прогноз экономической эффективности рекомендаций</w:t>
      </w:r>
    </w:p>
    <w:p w14:paraId="6FAB7048" w14:textId="0DBD735B" w:rsidR="00460D4A" w:rsidRPr="00460D4A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 xml:space="preserve">Прогноз эффективности показывает, что реализация предложенных мер позволит к 2027 году снизить количество выявленных нарушений до 300 единиц, увеличить долю возмещенных средств до 3,33% от суммы нарушений и сократить затраты на проведение проверок на 20% за счет цифровизации. </w:t>
      </w:r>
    </w:p>
    <w:p w14:paraId="4198B523" w14:textId="0FE8B405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>Слайд 1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Основные выводы</w:t>
      </w:r>
    </w:p>
    <w:p w14:paraId="28989A9C" w14:textId="37FF1631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Проведённый анализ подтвердил устойчивое расширение охвата муниципальных образований контролем, рост экспертно-аналитической нагрузки и смещение фокуса нарушений в сторону методологических и учетных аспектов. Выявленные проблемы носят системный характер и взаимосвязаны. Разработанный план мероприятий и прогноз его эффективности свидетельствуют о высокой практической значимости исследования. Предложенные рекомендации могут быть использованы Контрольно-счетной палатой Камчатского края для оптимизации планирования, а органами местного самоуправления – для повышения качества бюджетного процесса.</w:t>
      </w:r>
    </w:p>
    <w:p w14:paraId="46153E86" w14:textId="0355D90E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4C5">
        <w:rPr>
          <w:rFonts w:ascii="Times New Roman" w:hAnsi="Times New Roman" w:cs="Times New Roman"/>
          <w:b/>
          <w:bCs/>
          <w:sz w:val="28"/>
          <w:szCs w:val="28"/>
        </w:rPr>
        <w:t>Слайд 1</w:t>
      </w:r>
      <w:r w:rsidR="0063725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964C5">
        <w:rPr>
          <w:rFonts w:ascii="Times New Roman" w:hAnsi="Times New Roman" w:cs="Times New Roman"/>
          <w:b/>
          <w:bCs/>
          <w:sz w:val="28"/>
          <w:szCs w:val="28"/>
        </w:rPr>
        <w:t>. Спасибо за внимание!</w:t>
      </w:r>
    </w:p>
    <w:p w14:paraId="2F4A238E" w14:textId="71C034E3" w:rsidR="00B964C5" w:rsidRPr="00B964C5" w:rsidRDefault="00B964C5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4C5">
        <w:rPr>
          <w:rFonts w:ascii="Times New Roman" w:hAnsi="Times New Roman" w:cs="Times New Roman"/>
          <w:sz w:val="28"/>
          <w:szCs w:val="28"/>
        </w:rPr>
        <w:t>Благодарю за внимание! Готова ответить на ваши вопросы.</w:t>
      </w:r>
    </w:p>
    <w:p w14:paraId="3906D511" w14:textId="77777777" w:rsidR="00DB2047" w:rsidRPr="00460D4A" w:rsidRDefault="00DB2047" w:rsidP="00460D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2047" w:rsidRPr="00460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2DF"/>
    <w:multiLevelType w:val="multilevel"/>
    <w:tmpl w:val="64D6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67BF9"/>
    <w:multiLevelType w:val="multilevel"/>
    <w:tmpl w:val="C5D64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2C773A"/>
    <w:multiLevelType w:val="multilevel"/>
    <w:tmpl w:val="8DE61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75F93"/>
    <w:multiLevelType w:val="multilevel"/>
    <w:tmpl w:val="B15E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AE5132"/>
    <w:multiLevelType w:val="multilevel"/>
    <w:tmpl w:val="583E9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901B49"/>
    <w:multiLevelType w:val="multilevel"/>
    <w:tmpl w:val="D526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2314C0"/>
    <w:multiLevelType w:val="multilevel"/>
    <w:tmpl w:val="6E34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F90CA4"/>
    <w:multiLevelType w:val="multilevel"/>
    <w:tmpl w:val="26DC4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245671"/>
    <w:multiLevelType w:val="multilevel"/>
    <w:tmpl w:val="F8A8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DD58D6"/>
    <w:multiLevelType w:val="multilevel"/>
    <w:tmpl w:val="AEBC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6B6730"/>
    <w:multiLevelType w:val="multilevel"/>
    <w:tmpl w:val="EE1C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177322"/>
    <w:multiLevelType w:val="multilevel"/>
    <w:tmpl w:val="4E522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2355442">
    <w:abstractNumId w:val="7"/>
  </w:num>
  <w:num w:numId="2" w16cid:durableId="278992043">
    <w:abstractNumId w:val="8"/>
  </w:num>
  <w:num w:numId="3" w16cid:durableId="361904438">
    <w:abstractNumId w:val="3"/>
  </w:num>
  <w:num w:numId="4" w16cid:durableId="1414083512">
    <w:abstractNumId w:val="0"/>
  </w:num>
  <w:num w:numId="5" w16cid:durableId="447629745">
    <w:abstractNumId w:val="9"/>
  </w:num>
  <w:num w:numId="6" w16cid:durableId="606498637">
    <w:abstractNumId w:val="5"/>
  </w:num>
  <w:num w:numId="7" w16cid:durableId="879517103">
    <w:abstractNumId w:val="2"/>
  </w:num>
  <w:num w:numId="8" w16cid:durableId="1694460193">
    <w:abstractNumId w:val="10"/>
  </w:num>
  <w:num w:numId="9" w16cid:durableId="11952856">
    <w:abstractNumId w:val="11"/>
  </w:num>
  <w:num w:numId="10" w16cid:durableId="1625891615">
    <w:abstractNumId w:val="4"/>
  </w:num>
  <w:num w:numId="11" w16cid:durableId="266430782">
    <w:abstractNumId w:val="1"/>
  </w:num>
  <w:num w:numId="12" w16cid:durableId="1857985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37B"/>
    <w:rsid w:val="000001FE"/>
    <w:rsid w:val="001578A6"/>
    <w:rsid w:val="001879FB"/>
    <w:rsid w:val="00257FB1"/>
    <w:rsid w:val="00280EA3"/>
    <w:rsid w:val="0028737B"/>
    <w:rsid w:val="00460D4A"/>
    <w:rsid w:val="005913B2"/>
    <w:rsid w:val="0063725B"/>
    <w:rsid w:val="00A852C0"/>
    <w:rsid w:val="00A91306"/>
    <w:rsid w:val="00B25948"/>
    <w:rsid w:val="00B964C5"/>
    <w:rsid w:val="00BF7681"/>
    <w:rsid w:val="00C4553F"/>
    <w:rsid w:val="00DB2047"/>
    <w:rsid w:val="00F3335D"/>
    <w:rsid w:val="00F9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3E56"/>
  <w15:chartTrackingRefBased/>
  <w15:docId w15:val="{95F44BD4-B1CA-4831-8F17-B10DC678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73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73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3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73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73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73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73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73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73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73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73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73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73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73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73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73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73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73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73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73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73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73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73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73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73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73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73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73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73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Сороколетова Татьяна Ивановна</dc:creator>
  <cp:keywords/>
  <dc:description/>
  <cp:lastModifiedBy>Максим Матюхин</cp:lastModifiedBy>
  <cp:revision>9</cp:revision>
  <dcterms:created xsi:type="dcterms:W3CDTF">2026-05-13T03:42:00Z</dcterms:created>
  <dcterms:modified xsi:type="dcterms:W3CDTF">2026-06-09T11:00:00Z</dcterms:modified>
</cp:coreProperties>
</file>